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Space="180" w:wrap="around" w:vAnchor="text" w:hAnchor="page" w:x="796" w:y="-183"/>
        <w:rPr>
          <w:rFonts w:hint="default" w:ascii="Times New Roman" w:hAnsi="Times New Roman" w:cs="Times New Roman"/>
        </w:rPr>
      </w:pPr>
      <w:r>
        <w:drawing>
          <wp:inline distT="0" distB="0" distL="0" distR="0">
            <wp:extent cx="1346835" cy="1356995"/>
            <wp:effectExtent l="0" t="0" r="0" b="0"/>
            <wp:docPr id="1" name="Picture 1" descr="grevlog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vlog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pBdr>
          <w:bottom w:val="single" w:color="auto" w:sz="12" w:space="1"/>
        </w:pBdr>
        <w:tabs>
          <w:tab w:val="right" w:pos="9000"/>
          <w:tab w:val="clear" w:pos="8640"/>
        </w:tabs>
        <w:ind w:right="-270"/>
        <w:jc w:val="both"/>
        <w:rPr>
          <w:rFonts w:hint="default" w:ascii="Times New Roman" w:hAnsi="Times New Roman" w:cs="Times New Roman"/>
          <w:smallCaps/>
          <w:sz w:val="36"/>
        </w:rPr>
      </w:pPr>
      <w:r>
        <w:rPr>
          <w:rFonts w:hint="default" w:ascii="Times New Roman" w:hAnsi="Times New Roman" w:cs="Times New Roman"/>
          <w:b/>
          <w:smallCaps/>
          <w:sz w:val="52"/>
        </w:rPr>
        <w:t>Alberta Retina Consultants</w:t>
      </w:r>
    </w:p>
    <w:p>
      <w:pPr>
        <w:pStyle w:val="3"/>
        <w:tabs>
          <w:tab w:val="right" w:pos="9000"/>
          <w:tab w:val="clear" w:pos="8640"/>
        </w:tabs>
        <w:ind w:left="1980" w:right="-270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  Excellence in patient care, research and teaching</w:t>
      </w:r>
    </w:p>
    <w:tbl>
      <w:tblPr>
        <w:tblStyle w:val="7"/>
        <w:tblW w:w="10109" w:type="dxa"/>
        <w:tblInd w:w="-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8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0" w:hRule="atLeast"/>
        </w:trPr>
        <w:tc>
          <w:tcPr>
            <w:tcW w:w="1819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Mark D. J. Greve*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MD,  FRCSC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Brad J. Hinz* 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BSc, MD, FRCSC, ABO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Matthew T.S Tennant*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BA,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MD, FRCSC, ABO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Chad F. Baker*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BSc, MD, FRCSC</w:t>
            </w: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Rizwan Somani*</w:t>
            </w:r>
          </w:p>
          <w:p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BSc,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MSc,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MD, FRCSC, ABO</w:t>
            </w:r>
          </w:p>
          <w:p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David S Ehmann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*</w:t>
            </w:r>
          </w:p>
          <w:p>
            <w:pPr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BSc, MD, FRCSC,</w:t>
            </w:r>
          </w:p>
          <w:p>
            <w:pPr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ABO</w:t>
            </w:r>
          </w:p>
          <w:p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*professional  corporation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Research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AMD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Diabetes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Vascular Occlusion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Retinal Surgery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Hereditary eye diseases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University of Alberta 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Clinical &amp; Surgical 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Teaching 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Tele-ophthalmology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Advanced Medical &amp; Surgical Management of Retinal and Vitreous Disease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left w:val="nil"/>
            </w:tcBorders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, 2017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very excited to welcome Dr. David Ehmann to Alberta Retina Consultants. Dr. Ehmann was one of our past residents in ophthalmology at the U</w:t>
            </w:r>
            <w:r>
              <w:rPr>
                <w:sz w:val="28"/>
                <w:szCs w:val="28"/>
                <w:lang w:val="en-US"/>
              </w:rPr>
              <w:t>niversity</w:t>
            </w:r>
            <w:r>
              <w:rPr>
                <w:sz w:val="28"/>
                <w:szCs w:val="28"/>
              </w:rPr>
              <w:t xml:space="preserve"> of A</w:t>
            </w:r>
            <w:r>
              <w:rPr>
                <w:sz w:val="28"/>
                <w:szCs w:val="28"/>
                <w:lang w:val="en-US"/>
              </w:rPr>
              <w:t>lberta</w:t>
            </w:r>
            <w:r>
              <w:rPr>
                <w:sz w:val="28"/>
                <w:szCs w:val="28"/>
              </w:rPr>
              <w:t xml:space="preserve">.  After residency he completed a two year fellowship at the prestigious Wills Eye Hospital in Philadelphia.  He has been an excellent addition </w:t>
            </w:r>
            <w:r>
              <w:rPr>
                <w:sz w:val="28"/>
                <w:szCs w:val="28"/>
                <w:lang w:val="en-US"/>
              </w:rPr>
              <w:t>since</w:t>
            </w:r>
            <w:r>
              <w:rPr>
                <w:sz w:val="28"/>
                <w:szCs w:val="28"/>
              </w:rPr>
              <w:t xml:space="preserve"> join</w:t>
            </w:r>
            <w:r>
              <w:rPr>
                <w:sz w:val="28"/>
                <w:szCs w:val="28"/>
                <w:lang w:val="en-US"/>
              </w:rPr>
              <w:t>ing</w:t>
            </w:r>
            <w:r>
              <w:rPr>
                <w:sz w:val="28"/>
                <w:szCs w:val="28"/>
              </w:rPr>
              <w:t xml:space="preserve"> our practice in</w:t>
            </w:r>
            <w:r>
              <w:rPr>
                <w:sz w:val="28"/>
                <w:szCs w:val="28"/>
                <w:lang w:val="en-US"/>
              </w:rPr>
              <w:t xml:space="preserve"> July</w:t>
            </w:r>
            <w:r>
              <w:rPr>
                <w:sz w:val="28"/>
                <w:szCs w:val="28"/>
              </w:rPr>
              <w:t xml:space="preserve"> of this year.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thankful for all the helpful feedback we received from many of you.  This, as well as our own desire to maximize quality of care and patient triage, has mot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vated us to improve our referral request form. We have condensed it into a single page for easier use.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also ask that you send </w:t>
            </w:r>
            <w:r>
              <w:rPr>
                <w:sz w:val="28"/>
                <w:szCs w:val="28"/>
                <w:lang w:val="en-US"/>
              </w:rPr>
              <w:t>your</w:t>
            </w:r>
            <w:r>
              <w:rPr>
                <w:sz w:val="28"/>
                <w:szCs w:val="28"/>
              </w:rPr>
              <w:t xml:space="preserve"> regular referral letter including visual acuity, refraction, history and any other pertinent information you feel is beneficial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as th</w:t>
            </w:r>
            <w:r>
              <w:rPr>
                <w:sz w:val="28"/>
                <w:szCs w:val="28"/>
                <w:lang w:val="en-US"/>
              </w:rPr>
              <w:t>is</w:t>
            </w:r>
            <w:r>
              <w:rPr>
                <w:sz w:val="28"/>
                <w:szCs w:val="28"/>
              </w:rPr>
              <w:t xml:space="preserve"> is very helpful to us.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thank you for your continued referrals and support in allowing us to share in the care of your patients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The physicians at Alberta Retina Consultants</w:t>
            </w:r>
          </w:p>
          <w:p>
            <w:pPr>
              <w:rPr>
                <w:rFonts w:cs="Arial"/>
                <w:b/>
                <w:sz w:val="24"/>
                <w:szCs w:val="24"/>
              </w:rPr>
            </w:pPr>
          </w:p>
          <w:p>
            <w:pPr>
              <w:rPr>
                <w:rFonts w:cs="Arial"/>
                <w:sz w:val="24"/>
                <w:szCs w:val="24"/>
              </w:rPr>
            </w:pPr>
          </w:p>
          <w:p>
            <w:pPr>
              <w:rPr>
                <w:rFonts w:cs="Arial"/>
                <w:smallCaps/>
                <w:sz w:val="24"/>
                <w:szCs w:val="24"/>
              </w:rPr>
            </w:pPr>
          </w:p>
          <w:p>
            <w:pPr>
              <w:rPr>
                <w:rFonts w:cs="Arial"/>
                <w:smallCaps/>
                <w:sz w:val="22"/>
                <w:szCs w:val="22"/>
              </w:rPr>
            </w:pPr>
          </w:p>
          <w:p>
            <w:pPr>
              <w:rPr>
                <w:rFonts w:cs="Arial"/>
                <w:smallCaps/>
                <w:sz w:val="22"/>
                <w:szCs w:val="22"/>
              </w:rPr>
            </w:pPr>
          </w:p>
          <w:p>
            <w:pPr>
              <w:rPr>
                <w:rFonts w:cs="Arial"/>
                <w:smallCaps/>
                <w:sz w:val="18"/>
                <w:szCs w:val="18"/>
              </w:rPr>
            </w:pPr>
          </w:p>
        </w:tc>
      </w:tr>
    </w:tbl>
    <w:p/>
    <w:sectPr>
      <w:footerReference r:id="rId3" w:type="default"/>
      <w:type w:val="continuous"/>
      <w:pgSz w:w="12240" w:h="15840"/>
      <w:pgMar w:top="720" w:right="1699" w:bottom="288" w:left="1699" w:header="706" w:footer="27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eatherly swashes">
    <w:panose1 w:val="00000000000000000000"/>
    <w:charset w:val="00"/>
    <w:family w:val="auto"/>
    <w:pitch w:val="default"/>
    <w:sig w:usb0="00000001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12" w:space="1"/>
      </w:pBdr>
    </w:pPr>
  </w:p>
  <w:p>
    <w:pPr>
      <w:pStyle w:val="2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 xml:space="preserve">  10924-107 Avenue  Edmonton, Alberta  T5H 0X5</w:t>
    </w:r>
  </w:p>
  <w:p>
    <w:pPr>
      <w:pStyle w:val="2"/>
      <w:jc w:val="center"/>
      <w:rPr>
        <w:sz w:val="16"/>
        <w:szCs w:val="16"/>
      </w:rPr>
    </w:pPr>
    <w:r>
      <w:rPr>
        <w:sz w:val="16"/>
        <w:szCs w:val="16"/>
      </w:rPr>
      <w:t xml:space="preserve">Phone (780) 448-1801  Fax (780) 448-1809   </w:t>
    </w:r>
    <w:r>
      <w:fldChar w:fldCharType="begin"/>
    </w:r>
    <w:r>
      <w:instrText xml:space="preserve"> HYPERLINK "http://www.alberta-retina.com" </w:instrText>
    </w:r>
    <w:r>
      <w:fldChar w:fldCharType="separate"/>
    </w:r>
    <w:r>
      <w:rPr>
        <w:rStyle w:val="5"/>
        <w:sz w:val="16"/>
        <w:szCs w:val="16"/>
      </w:rPr>
      <w:t>www.alberta-retina.com</w:t>
    </w:r>
    <w:r>
      <w:rPr>
        <w:rStyle w:val="5"/>
        <w:sz w:val="16"/>
        <w:szCs w:val="16"/>
      </w:rPr>
      <w:fldChar w:fldCharType="end"/>
    </w:r>
  </w:p>
  <w:p>
    <w:pPr>
      <w:pStyle w:val="2"/>
      <w:jc w:val="center"/>
      <w:rPr>
        <w:sz w:val="16"/>
        <w:szCs w:val="16"/>
      </w:rPr>
    </w:pPr>
  </w:p>
  <w:p>
    <w:pPr>
      <w:pStyle w:val="2"/>
      <w:jc w:val="center"/>
      <w:rPr>
        <w:sz w:val="16"/>
        <w:szCs w:val="16"/>
      </w:rPr>
    </w:pPr>
  </w:p>
  <w:p>
    <w:pPr>
      <w:pStyle w:val="2"/>
      <w:jc w:val="center"/>
      <w:rPr>
        <w:sz w:val="16"/>
        <w:szCs w:val="16"/>
      </w:rPr>
    </w:pPr>
  </w:p>
  <w:p>
    <w:pPr>
      <w:pStyle w:val="2"/>
      <w:jc w:val="center"/>
      <w:rPr>
        <w:sz w:val="16"/>
        <w:szCs w:val="16"/>
      </w:rPr>
    </w:pPr>
  </w:p>
  <w:p>
    <w:pPr>
      <w:pStyle w:val="2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D5"/>
    <w:rsid w:val="00024ABD"/>
    <w:rsid w:val="000342B1"/>
    <w:rsid w:val="00043420"/>
    <w:rsid w:val="00063B44"/>
    <w:rsid w:val="00092E7E"/>
    <w:rsid w:val="000B6CD5"/>
    <w:rsid w:val="000E6C5E"/>
    <w:rsid w:val="00110AFC"/>
    <w:rsid w:val="00110BD3"/>
    <w:rsid w:val="0013492B"/>
    <w:rsid w:val="00153BD5"/>
    <w:rsid w:val="001A5BED"/>
    <w:rsid w:val="001C2ABF"/>
    <w:rsid w:val="001F01C3"/>
    <w:rsid w:val="00217996"/>
    <w:rsid w:val="00220B1E"/>
    <w:rsid w:val="00264C49"/>
    <w:rsid w:val="00293099"/>
    <w:rsid w:val="002E1961"/>
    <w:rsid w:val="002E6B60"/>
    <w:rsid w:val="0035062D"/>
    <w:rsid w:val="003520AC"/>
    <w:rsid w:val="003546D6"/>
    <w:rsid w:val="00363071"/>
    <w:rsid w:val="003A04FD"/>
    <w:rsid w:val="003B4AD4"/>
    <w:rsid w:val="003C7AE1"/>
    <w:rsid w:val="003D224B"/>
    <w:rsid w:val="003F1DBB"/>
    <w:rsid w:val="003F3414"/>
    <w:rsid w:val="00402105"/>
    <w:rsid w:val="004414CD"/>
    <w:rsid w:val="00461F55"/>
    <w:rsid w:val="00474F1A"/>
    <w:rsid w:val="004751EE"/>
    <w:rsid w:val="004878FE"/>
    <w:rsid w:val="00494678"/>
    <w:rsid w:val="004B595B"/>
    <w:rsid w:val="004C0BAC"/>
    <w:rsid w:val="004E0785"/>
    <w:rsid w:val="0050252E"/>
    <w:rsid w:val="0050758E"/>
    <w:rsid w:val="005126DC"/>
    <w:rsid w:val="00515534"/>
    <w:rsid w:val="005811F8"/>
    <w:rsid w:val="0058243A"/>
    <w:rsid w:val="005B676C"/>
    <w:rsid w:val="005D3EB4"/>
    <w:rsid w:val="005F538C"/>
    <w:rsid w:val="00630381"/>
    <w:rsid w:val="006434A1"/>
    <w:rsid w:val="00661610"/>
    <w:rsid w:val="00671532"/>
    <w:rsid w:val="00675713"/>
    <w:rsid w:val="00677790"/>
    <w:rsid w:val="0068406B"/>
    <w:rsid w:val="006C397C"/>
    <w:rsid w:val="006E5633"/>
    <w:rsid w:val="00700D21"/>
    <w:rsid w:val="0070314E"/>
    <w:rsid w:val="0070337F"/>
    <w:rsid w:val="00742BB1"/>
    <w:rsid w:val="0076765F"/>
    <w:rsid w:val="007730E8"/>
    <w:rsid w:val="00776A87"/>
    <w:rsid w:val="007A6E1A"/>
    <w:rsid w:val="007C0B12"/>
    <w:rsid w:val="007C1B26"/>
    <w:rsid w:val="007C266A"/>
    <w:rsid w:val="007E17A9"/>
    <w:rsid w:val="00852F5A"/>
    <w:rsid w:val="008906E0"/>
    <w:rsid w:val="008F7240"/>
    <w:rsid w:val="00943853"/>
    <w:rsid w:val="00952641"/>
    <w:rsid w:val="0096689B"/>
    <w:rsid w:val="0099150D"/>
    <w:rsid w:val="009A2197"/>
    <w:rsid w:val="009D0416"/>
    <w:rsid w:val="009D5952"/>
    <w:rsid w:val="009E448A"/>
    <w:rsid w:val="00A14DC4"/>
    <w:rsid w:val="00A2278D"/>
    <w:rsid w:val="00A23E21"/>
    <w:rsid w:val="00A24C3A"/>
    <w:rsid w:val="00A271C4"/>
    <w:rsid w:val="00A30C71"/>
    <w:rsid w:val="00A35A87"/>
    <w:rsid w:val="00A360A6"/>
    <w:rsid w:val="00A37DA5"/>
    <w:rsid w:val="00A82E1E"/>
    <w:rsid w:val="00A953C7"/>
    <w:rsid w:val="00AD6211"/>
    <w:rsid w:val="00B0247A"/>
    <w:rsid w:val="00B07587"/>
    <w:rsid w:val="00B24DBE"/>
    <w:rsid w:val="00B40B12"/>
    <w:rsid w:val="00B46B35"/>
    <w:rsid w:val="00BE228B"/>
    <w:rsid w:val="00C018DD"/>
    <w:rsid w:val="00C05CE7"/>
    <w:rsid w:val="00C30803"/>
    <w:rsid w:val="00C475A8"/>
    <w:rsid w:val="00C64F1F"/>
    <w:rsid w:val="00C73EB0"/>
    <w:rsid w:val="00C84EC4"/>
    <w:rsid w:val="00C87987"/>
    <w:rsid w:val="00CD1CA3"/>
    <w:rsid w:val="00D00265"/>
    <w:rsid w:val="00D23950"/>
    <w:rsid w:val="00D244E3"/>
    <w:rsid w:val="00D32C56"/>
    <w:rsid w:val="00D36318"/>
    <w:rsid w:val="00D61D60"/>
    <w:rsid w:val="00D74615"/>
    <w:rsid w:val="00D82FE5"/>
    <w:rsid w:val="00D96F5E"/>
    <w:rsid w:val="00DA0A41"/>
    <w:rsid w:val="00DD58EE"/>
    <w:rsid w:val="00E013BB"/>
    <w:rsid w:val="00E05443"/>
    <w:rsid w:val="00E1638D"/>
    <w:rsid w:val="00E62A97"/>
    <w:rsid w:val="00E70A5B"/>
    <w:rsid w:val="00E71976"/>
    <w:rsid w:val="00EA3F03"/>
    <w:rsid w:val="00F32D8C"/>
    <w:rsid w:val="00F44899"/>
    <w:rsid w:val="00F904C8"/>
    <w:rsid w:val="00F93503"/>
    <w:rsid w:val="00F974BA"/>
    <w:rsid w:val="00FA75D8"/>
    <w:rsid w:val="00FB5ECD"/>
    <w:rsid w:val="00FB77EC"/>
    <w:rsid w:val="00FC35F8"/>
    <w:rsid w:val="00FC59BA"/>
    <w:rsid w:val="00FD1CC6"/>
    <w:rsid w:val="00FD2277"/>
    <w:rsid w:val="063C3928"/>
    <w:rsid w:val="169666FB"/>
    <w:rsid w:val="255671AE"/>
    <w:rsid w:val="3DAF4F20"/>
    <w:rsid w:val="4358457A"/>
    <w:rsid w:val="4E691011"/>
    <w:rsid w:val="52157E50"/>
    <w:rsid w:val="53532265"/>
    <w:rsid w:val="57A52E8E"/>
    <w:rsid w:val="5F701226"/>
    <w:rsid w:val="63D20105"/>
    <w:rsid w:val="739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3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Alberta Retina Consultants</Company>
  <Pages>2</Pages>
  <Words>234</Words>
  <Characters>1335</Characters>
  <Lines>11</Lines>
  <Paragraphs>3</Paragraphs>
  <ScaleCrop>false</ScaleCrop>
  <LinksUpToDate>false</LinksUpToDate>
  <CharactersWithSpaces>1566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2017-10-18T19:01:00Z</dcterms:created>
  <dc:creator>Administrator</dc:creator>
  <cp:lastModifiedBy>Mitchell</cp:lastModifiedBy>
  <cp:lastPrinted>2010-04-07T00:16:00Z</cp:lastPrinted>
  <dcterms:modified xsi:type="dcterms:W3CDTF">2017-10-25T14:54:31Z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